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5B28" w14:textId="7BCA1BD0" w:rsidR="00E83732" w:rsidRDefault="00E83732">
      <w:pPr>
        <w:rPr>
          <w:b/>
          <w:color w:val="2E74B5" w:themeColor="accent1" w:themeShade="BF"/>
          <w:szCs w:val="28"/>
        </w:rPr>
      </w:pPr>
      <w:bookmarkStart w:id="0" w:name="_GoBack"/>
      <w:bookmarkEnd w:id="0"/>
      <w:r w:rsidRPr="00E83732">
        <w:rPr>
          <w:b/>
          <w:noProof/>
          <w:color w:val="2E74B5" w:themeColor="accent1" w:themeShade="BF"/>
          <w:szCs w:val="28"/>
          <w:lang w:eastAsia="en-GB"/>
        </w:rPr>
        <w:drawing>
          <wp:inline distT="0" distB="0" distL="0" distR="0" wp14:anchorId="1810524E" wp14:editId="78595C55">
            <wp:extent cx="1828800" cy="1095375"/>
            <wp:effectExtent l="0" t="0" r="0" b="9525"/>
            <wp:docPr id="1" name="Picture 1" descr="S:\DRUK\Website\logos\Disability rights uk\brand\dru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RUK\Website\logos\Disability rights uk\brand\druk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F9FC" w14:textId="5EDE5BFE" w:rsidR="009B6565" w:rsidRPr="00AC62DE" w:rsidRDefault="009B6565">
      <w:pPr>
        <w:rPr>
          <w:b/>
          <w:color w:val="2E74B5" w:themeColor="accent1" w:themeShade="BF"/>
          <w:szCs w:val="28"/>
        </w:rPr>
      </w:pPr>
      <w:r w:rsidRPr="00AC62DE">
        <w:rPr>
          <w:b/>
          <w:color w:val="2E74B5" w:themeColor="accent1" w:themeShade="BF"/>
          <w:szCs w:val="28"/>
        </w:rPr>
        <w:t xml:space="preserve">Closing the disability skills gap: ‘what works’ to enhance skills for </w:t>
      </w:r>
      <w:r w:rsidR="00524873" w:rsidRPr="00AC62DE">
        <w:rPr>
          <w:b/>
          <w:color w:val="2E74B5" w:themeColor="accent1" w:themeShade="BF"/>
          <w:szCs w:val="28"/>
        </w:rPr>
        <w:t>future work</w:t>
      </w:r>
      <w:r w:rsidRPr="00AC62DE">
        <w:rPr>
          <w:b/>
          <w:color w:val="2E74B5" w:themeColor="accent1" w:themeShade="BF"/>
          <w:szCs w:val="28"/>
        </w:rPr>
        <w:t xml:space="preserve">  </w:t>
      </w:r>
    </w:p>
    <w:p w14:paraId="7BB04FCE" w14:textId="495DF52F" w:rsidR="0036136B" w:rsidRPr="00183775" w:rsidRDefault="009B6565">
      <w:pPr>
        <w:rPr>
          <w:szCs w:val="28"/>
        </w:rPr>
      </w:pPr>
      <w:r w:rsidRPr="00183775">
        <w:rPr>
          <w:szCs w:val="28"/>
        </w:rPr>
        <w:t xml:space="preserve">This summary is based on 2 Disability Rights UK reports: a literature review, by Dr Gill O’Toole </w:t>
      </w:r>
      <w:r w:rsidR="00D37310" w:rsidRPr="00183775">
        <w:rPr>
          <w:szCs w:val="28"/>
        </w:rPr>
        <w:t>of London Metrop</w:t>
      </w:r>
      <w:r w:rsidR="00C67DF1" w:rsidRPr="00183775">
        <w:rPr>
          <w:szCs w:val="28"/>
        </w:rPr>
        <w:t>o</w:t>
      </w:r>
      <w:r w:rsidR="00D37310" w:rsidRPr="00183775">
        <w:rPr>
          <w:szCs w:val="28"/>
        </w:rPr>
        <w:t>litan University</w:t>
      </w:r>
      <w:r w:rsidRPr="00183775">
        <w:rPr>
          <w:szCs w:val="28"/>
        </w:rPr>
        <w:t>, and a reflective report setting a path for future policy</w:t>
      </w:r>
      <w:r w:rsidR="0036136B" w:rsidRPr="00183775">
        <w:rPr>
          <w:szCs w:val="28"/>
        </w:rPr>
        <w:t>. They focus both on the skills young disabled people need to get into employment; and on skills for people who acquire impairments</w:t>
      </w:r>
      <w:r w:rsidR="00AC62DE">
        <w:rPr>
          <w:szCs w:val="28"/>
        </w:rPr>
        <w:t xml:space="preserve"> or</w:t>
      </w:r>
      <w:r w:rsidR="00183775">
        <w:rPr>
          <w:szCs w:val="28"/>
        </w:rPr>
        <w:t xml:space="preserve"> </w:t>
      </w:r>
      <w:r w:rsidR="0036136B" w:rsidRPr="00183775">
        <w:rPr>
          <w:szCs w:val="28"/>
        </w:rPr>
        <w:t xml:space="preserve">conditions during working life. </w:t>
      </w:r>
    </w:p>
    <w:p w14:paraId="029EE330" w14:textId="77777777" w:rsidR="00F00FC7" w:rsidRDefault="009B6565">
      <w:pPr>
        <w:rPr>
          <w:b/>
          <w:color w:val="2E74B5" w:themeColor="accent1" w:themeShade="BF"/>
          <w:szCs w:val="28"/>
        </w:rPr>
      </w:pPr>
      <w:r w:rsidRPr="00AC62DE">
        <w:rPr>
          <w:b/>
          <w:color w:val="2E74B5" w:themeColor="accent1" w:themeShade="BF"/>
          <w:szCs w:val="28"/>
        </w:rPr>
        <w:t>Challenges and opportunities</w:t>
      </w:r>
    </w:p>
    <w:p w14:paraId="37A27521" w14:textId="247E53D3" w:rsidR="009B6565" w:rsidRPr="00183775" w:rsidRDefault="009B6565">
      <w:pPr>
        <w:rPr>
          <w:szCs w:val="28"/>
        </w:rPr>
      </w:pPr>
      <w:r w:rsidRPr="00183775">
        <w:rPr>
          <w:szCs w:val="28"/>
        </w:rPr>
        <w:t xml:space="preserve">There is a significant disability skills </w:t>
      </w:r>
      <w:r w:rsidR="00B47064" w:rsidRPr="00183775">
        <w:rPr>
          <w:szCs w:val="28"/>
        </w:rPr>
        <w:t xml:space="preserve">and qualifications </w:t>
      </w:r>
      <w:r w:rsidRPr="00183775">
        <w:rPr>
          <w:szCs w:val="28"/>
        </w:rPr>
        <w:t xml:space="preserve">gap: </w:t>
      </w:r>
      <w:r w:rsidR="00A50B90" w:rsidRPr="00183775">
        <w:rPr>
          <w:szCs w:val="28"/>
        </w:rPr>
        <w:t>disabled adults are three times as likely as non-disabled peers to have no qualifications</w:t>
      </w:r>
      <w:r w:rsidR="00524873" w:rsidRPr="00183775">
        <w:rPr>
          <w:szCs w:val="28"/>
        </w:rPr>
        <w:t xml:space="preserve"> at all</w:t>
      </w:r>
      <w:r w:rsidR="009A735B" w:rsidRPr="00183775">
        <w:rPr>
          <w:rStyle w:val="FootnoteReference"/>
          <w:szCs w:val="28"/>
        </w:rPr>
        <w:footnoteReference w:id="1"/>
      </w:r>
      <w:r w:rsidR="00A50B90" w:rsidRPr="00183775">
        <w:rPr>
          <w:szCs w:val="28"/>
        </w:rPr>
        <w:t>. Young disabled people are</w:t>
      </w:r>
      <w:r w:rsidR="009A735B" w:rsidRPr="00183775">
        <w:rPr>
          <w:szCs w:val="28"/>
        </w:rPr>
        <w:t xml:space="preserve"> twice as likely to be NEET (not in education, employment or training) and </w:t>
      </w:r>
      <w:r w:rsidR="00A50B90" w:rsidRPr="00183775">
        <w:rPr>
          <w:szCs w:val="28"/>
        </w:rPr>
        <w:t>significantly less likely to go to university</w:t>
      </w:r>
      <w:r w:rsidR="00A50B90" w:rsidRPr="00183775">
        <w:rPr>
          <w:rStyle w:val="FootnoteReference"/>
          <w:szCs w:val="28"/>
        </w:rPr>
        <w:footnoteReference w:id="2"/>
      </w:r>
      <w:r w:rsidR="00A50B90" w:rsidRPr="00183775">
        <w:rPr>
          <w:szCs w:val="28"/>
        </w:rPr>
        <w:t xml:space="preserve">. </w:t>
      </w:r>
    </w:p>
    <w:p w14:paraId="6E744482" w14:textId="447D258D" w:rsidR="009B6565" w:rsidRPr="00183775" w:rsidRDefault="009A735B">
      <w:pPr>
        <w:rPr>
          <w:szCs w:val="28"/>
        </w:rPr>
      </w:pPr>
      <w:r w:rsidRPr="00183775">
        <w:rPr>
          <w:szCs w:val="28"/>
        </w:rPr>
        <w:t>L</w:t>
      </w:r>
      <w:r w:rsidR="009B6565" w:rsidRPr="00183775">
        <w:rPr>
          <w:szCs w:val="28"/>
        </w:rPr>
        <w:t xml:space="preserve">ack of skills impacts on disabled people’s employment </w:t>
      </w:r>
      <w:r w:rsidR="0036136B" w:rsidRPr="00183775">
        <w:rPr>
          <w:szCs w:val="28"/>
        </w:rPr>
        <w:t xml:space="preserve">opportunities </w:t>
      </w:r>
      <w:r w:rsidR="009B6565" w:rsidRPr="00183775">
        <w:rPr>
          <w:szCs w:val="28"/>
        </w:rPr>
        <w:t>even more severely than on non-disabled people</w:t>
      </w:r>
      <w:r w:rsidR="00B47064" w:rsidRPr="00183775">
        <w:rPr>
          <w:szCs w:val="28"/>
        </w:rPr>
        <w:t xml:space="preserve">: </w:t>
      </w:r>
      <w:r w:rsidRPr="00183775">
        <w:rPr>
          <w:szCs w:val="28"/>
        </w:rPr>
        <w:t xml:space="preserve">the gap between </w:t>
      </w:r>
      <w:r w:rsidR="00524873" w:rsidRPr="00183775">
        <w:rPr>
          <w:szCs w:val="28"/>
        </w:rPr>
        <w:t xml:space="preserve">the employment rates of </w:t>
      </w:r>
      <w:r w:rsidRPr="00183775">
        <w:rPr>
          <w:szCs w:val="28"/>
        </w:rPr>
        <w:t>disabled and non-disabled people with no qualifications is 35.7%; with a degree, only 15%</w:t>
      </w:r>
      <w:r w:rsidRPr="00183775">
        <w:rPr>
          <w:rStyle w:val="FootnoteReference"/>
          <w:szCs w:val="28"/>
        </w:rPr>
        <w:footnoteReference w:id="3"/>
      </w:r>
      <w:r w:rsidRPr="00183775">
        <w:rPr>
          <w:szCs w:val="28"/>
        </w:rPr>
        <w:t xml:space="preserve">. </w:t>
      </w:r>
    </w:p>
    <w:p w14:paraId="24004678" w14:textId="55CF60DA" w:rsidR="009A735B" w:rsidRPr="00183775" w:rsidRDefault="0036136B">
      <w:pPr>
        <w:rPr>
          <w:szCs w:val="28"/>
        </w:rPr>
      </w:pPr>
      <w:r w:rsidRPr="00183775">
        <w:rPr>
          <w:szCs w:val="28"/>
        </w:rPr>
        <w:t xml:space="preserve">In some areas disabled people’s qualifications are improving: </w:t>
      </w:r>
      <w:r w:rsidR="009A735B" w:rsidRPr="00183775">
        <w:rPr>
          <w:szCs w:val="28"/>
        </w:rPr>
        <w:t xml:space="preserve">disabled 19 year olds </w:t>
      </w:r>
      <w:r w:rsidR="00910063" w:rsidRPr="00183775">
        <w:rPr>
          <w:szCs w:val="28"/>
        </w:rPr>
        <w:t xml:space="preserve">are becoming </w:t>
      </w:r>
      <w:r w:rsidR="009A735B" w:rsidRPr="00183775">
        <w:rPr>
          <w:szCs w:val="28"/>
        </w:rPr>
        <w:t>more likely to get level 3 qualifications; and the number of disabled apprentices is rising</w:t>
      </w:r>
      <w:r w:rsidR="00524873" w:rsidRPr="00183775">
        <w:rPr>
          <w:szCs w:val="28"/>
        </w:rPr>
        <w:t xml:space="preserve"> (to over 42,000 by 2012-13</w:t>
      </w:r>
      <w:r w:rsidR="00524873" w:rsidRPr="00183775">
        <w:rPr>
          <w:rStyle w:val="FootnoteReference"/>
          <w:szCs w:val="28"/>
        </w:rPr>
        <w:footnoteReference w:id="4"/>
      </w:r>
      <w:r w:rsidR="009A735B" w:rsidRPr="00183775">
        <w:rPr>
          <w:szCs w:val="28"/>
        </w:rPr>
        <w:t xml:space="preserve">. </w:t>
      </w:r>
    </w:p>
    <w:p w14:paraId="1181798B" w14:textId="0FC374FF" w:rsidR="0036136B" w:rsidRPr="00183775" w:rsidRDefault="0036136B">
      <w:pPr>
        <w:rPr>
          <w:szCs w:val="28"/>
        </w:rPr>
      </w:pPr>
      <w:r w:rsidRPr="00183775">
        <w:rPr>
          <w:szCs w:val="28"/>
        </w:rPr>
        <w:t>If disabled people’s skills rose to the same level as those of non-disabled people it would add billions to the UK economy</w:t>
      </w:r>
      <w:r w:rsidR="00524873" w:rsidRPr="00183775">
        <w:rPr>
          <w:rStyle w:val="FootnoteReference"/>
          <w:szCs w:val="28"/>
        </w:rPr>
        <w:footnoteReference w:id="5"/>
      </w:r>
      <w:r w:rsidRPr="00183775">
        <w:rPr>
          <w:szCs w:val="28"/>
        </w:rPr>
        <w:t xml:space="preserve"> </w:t>
      </w:r>
      <w:r w:rsidR="00AC62DE">
        <w:rPr>
          <w:szCs w:val="28"/>
        </w:rPr>
        <w:t>.</w:t>
      </w:r>
    </w:p>
    <w:p w14:paraId="0B3C3B95" w14:textId="6072693C" w:rsidR="002A64F1" w:rsidRPr="00AC62DE" w:rsidRDefault="00140177">
      <w:pPr>
        <w:rPr>
          <w:b/>
          <w:color w:val="2E74B5" w:themeColor="accent1" w:themeShade="BF"/>
          <w:szCs w:val="28"/>
        </w:rPr>
      </w:pPr>
      <w:r w:rsidRPr="00AC62DE">
        <w:rPr>
          <w:b/>
          <w:color w:val="2E74B5" w:themeColor="accent1" w:themeShade="BF"/>
          <w:szCs w:val="28"/>
        </w:rPr>
        <w:t xml:space="preserve">Incisive </w:t>
      </w:r>
      <w:r w:rsidR="002A64F1" w:rsidRPr="00AC62DE">
        <w:rPr>
          <w:b/>
          <w:color w:val="2E74B5" w:themeColor="accent1" w:themeShade="BF"/>
          <w:szCs w:val="28"/>
        </w:rPr>
        <w:t>lessons</w:t>
      </w:r>
    </w:p>
    <w:p w14:paraId="20C67CC0" w14:textId="107424A3" w:rsidR="0036136B" w:rsidRPr="00183775" w:rsidRDefault="001B0559">
      <w:pPr>
        <w:rPr>
          <w:szCs w:val="28"/>
        </w:rPr>
      </w:pPr>
      <w:r w:rsidRPr="00183775">
        <w:rPr>
          <w:szCs w:val="28"/>
        </w:rPr>
        <w:t xml:space="preserve">There are critical success factors </w:t>
      </w:r>
      <w:r w:rsidR="007940E6" w:rsidRPr="00183775">
        <w:rPr>
          <w:szCs w:val="28"/>
        </w:rPr>
        <w:t xml:space="preserve">from the </w:t>
      </w:r>
      <w:r w:rsidR="00315500" w:rsidRPr="00183775">
        <w:rPr>
          <w:szCs w:val="28"/>
        </w:rPr>
        <w:t>2 reports</w:t>
      </w:r>
      <w:r w:rsidR="0036136B" w:rsidRPr="00183775">
        <w:rPr>
          <w:szCs w:val="28"/>
        </w:rPr>
        <w:t>:</w:t>
      </w:r>
      <w:r w:rsidRPr="00183775">
        <w:rPr>
          <w:szCs w:val="28"/>
        </w:rPr>
        <w:t xml:space="preserve"> </w:t>
      </w:r>
    </w:p>
    <w:p w14:paraId="79AC9F5F" w14:textId="56C470BC" w:rsidR="0036136B" w:rsidRPr="00183775" w:rsidRDefault="00524873" w:rsidP="00910063">
      <w:pPr>
        <w:pStyle w:val="ListParagraph"/>
        <w:numPr>
          <w:ilvl w:val="0"/>
          <w:numId w:val="6"/>
        </w:numPr>
        <w:rPr>
          <w:szCs w:val="28"/>
        </w:rPr>
      </w:pPr>
      <w:r w:rsidRPr="00183775">
        <w:rPr>
          <w:szCs w:val="28"/>
        </w:rPr>
        <w:lastRenderedPageBreak/>
        <w:t>C</w:t>
      </w:r>
      <w:r w:rsidR="0036136B" w:rsidRPr="00183775">
        <w:rPr>
          <w:szCs w:val="28"/>
        </w:rPr>
        <w:t xml:space="preserve">areers advice that blends trained </w:t>
      </w:r>
      <w:r w:rsidR="001B0559" w:rsidRPr="00183775">
        <w:rPr>
          <w:szCs w:val="28"/>
        </w:rPr>
        <w:t xml:space="preserve">independent advisors </w:t>
      </w:r>
      <w:r w:rsidR="0036136B" w:rsidRPr="00183775">
        <w:rPr>
          <w:szCs w:val="28"/>
        </w:rPr>
        <w:t xml:space="preserve">with </w:t>
      </w:r>
      <w:r w:rsidR="001B0559" w:rsidRPr="00183775">
        <w:rPr>
          <w:szCs w:val="28"/>
        </w:rPr>
        <w:t>online accessible resources</w:t>
      </w:r>
      <w:r w:rsidR="008228A3" w:rsidRPr="00183775">
        <w:rPr>
          <w:szCs w:val="28"/>
        </w:rPr>
        <w:t xml:space="preserve">; rooted in in-depth knowledge of both the career potential of disabled people </w:t>
      </w:r>
      <w:r w:rsidR="00315500" w:rsidRPr="00183775">
        <w:rPr>
          <w:szCs w:val="28"/>
        </w:rPr>
        <w:t xml:space="preserve">(overcoming low expectations) </w:t>
      </w:r>
      <w:r w:rsidR="008228A3" w:rsidRPr="00183775">
        <w:rPr>
          <w:szCs w:val="28"/>
        </w:rPr>
        <w:t xml:space="preserve">and the </w:t>
      </w:r>
      <w:r w:rsidR="00910063" w:rsidRPr="00183775">
        <w:rPr>
          <w:szCs w:val="28"/>
        </w:rPr>
        <w:t>job roles of the future economy</w:t>
      </w:r>
      <w:r w:rsidR="00910063" w:rsidRPr="00183775">
        <w:rPr>
          <w:rStyle w:val="FootnoteReference"/>
          <w:szCs w:val="28"/>
        </w:rPr>
        <w:footnoteReference w:id="6"/>
      </w:r>
      <w:r w:rsidR="001B0559" w:rsidRPr="00183775">
        <w:rPr>
          <w:szCs w:val="28"/>
        </w:rPr>
        <w:t xml:space="preserve"> </w:t>
      </w:r>
    </w:p>
    <w:p w14:paraId="6E6B069B" w14:textId="35F1E328" w:rsidR="00315500" w:rsidRPr="00183775" w:rsidRDefault="00524873" w:rsidP="00910063">
      <w:pPr>
        <w:pStyle w:val="ListParagraph"/>
        <w:numPr>
          <w:ilvl w:val="0"/>
          <w:numId w:val="6"/>
        </w:numPr>
        <w:rPr>
          <w:szCs w:val="28"/>
        </w:rPr>
      </w:pPr>
      <w:r w:rsidRPr="00183775">
        <w:rPr>
          <w:szCs w:val="28"/>
        </w:rPr>
        <w:t>S</w:t>
      </w:r>
      <w:r w:rsidR="00315500" w:rsidRPr="00183775">
        <w:rPr>
          <w:szCs w:val="28"/>
        </w:rPr>
        <w:t>kills development that is integrated with employment, offering a range of quality work experience, traineeships and apprenticeships</w:t>
      </w:r>
      <w:r w:rsidR="006D1BF6" w:rsidRPr="00183775">
        <w:rPr>
          <w:szCs w:val="28"/>
        </w:rPr>
        <w:t>. Colleges, Job Centre Plus and employment support providers have key roles in integrating skills with employment opportunities</w:t>
      </w:r>
    </w:p>
    <w:p w14:paraId="1AE95555" w14:textId="528C2B6C" w:rsidR="008228A3" w:rsidRPr="00183775" w:rsidRDefault="00524873" w:rsidP="00910063">
      <w:pPr>
        <w:pStyle w:val="ListParagraph"/>
        <w:numPr>
          <w:ilvl w:val="0"/>
          <w:numId w:val="6"/>
        </w:numPr>
        <w:rPr>
          <w:szCs w:val="28"/>
        </w:rPr>
      </w:pPr>
      <w:r w:rsidRPr="00183775">
        <w:rPr>
          <w:szCs w:val="28"/>
        </w:rPr>
        <w:t>P</w:t>
      </w:r>
      <w:r w:rsidR="006D1BF6" w:rsidRPr="00183775">
        <w:rPr>
          <w:szCs w:val="28"/>
        </w:rPr>
        <w:t>eer support and mentoring</w:t>
      </w:r>
      <w:r w:rsidR="00910063" w:rsidRPr="00183775">
        <w:rPr>
          <w:szCs w:val="28"/>
        </w:rPr>
        <w:t>: sharing the expertise of lived experience</w:t>
      </w:r>
      <w:r w:rsidR="004A752B" w:rsidRPr="00183775">
        <w:rPr>
          <w:szCs w:val="28"/>
        </w:rPr>
        <w:t xml:space="preserve"> </w:t>
      </w:r>
    </w:p>
    <w:p w14:paraId="047B5C73" w14:textId="10C949D8" w:rsidR="006D1BF6" w:rsidRPr="00183775" w:rsidRDefault="00524873" w:rsidP="00910063">
      <w:pPr>
        <w:pStyle w:val="ListParagraph"/>
        <w:numPr>
          <w:ilvl w:val="0"/>
          <w:numId w:val="6"/>
        </w:numPr>
        <w:rPr>
          <w:szCs w:val="28"/>
        </w:rPr>
      </w:pPr>
      <w:r w:rsidRPr="00183775">
        <w:rPr>
          <w:szCs w:val="28"/>
        </w:rPr>
        <w:t>S</w:t>
      </w:r>
      <w:r w:rsidR="006D1BF6" w:rsidRPr="00183775">
        <w:rPr>
          <w:szCs w:val="28"/>
        </w:rPr>
        <w:t xml:space="preserve">upport for the individual, skills provider and employer. Good practice suggests rapid job/work experience search, </w:t>
      </w:r>
      <w:r w:rsidR="00183775">
        <w:rPr>
          <w:szCs w:val="28"/>
        </w:rPr>
        <w:t>with flexible and</w:t>
      </w:r>
      <w:r w:rsidR="00AC62DE">
        <w:rPr>
          <w:szCs w:val="28"/>
        </w:rPr>
        <w:t xml:space="preserve"> - </w:t>
      </w:r>
      <w:r w:rsidR="00183775">
        <w:rPr>
          <w:szCs w:val="28"/>
        </w:rPr>
        <w:t>where needed</w:t>
      </w:r>
      <w:r w:rsidR="00AC62DE">
        <w:rPr>
          <w:szCs w:val="28"/>
        </w:rPr>
        <w:t xml:space="preserve"> - </w:t>
      </w:r>
      <w:r w:rsidR="00183775">
        <w:rPr>
          <w:szCs w:val="28"/>
        </w:rPr>
        <w:t xml:space="preserve">ongoing </w:t>
      </w:r>
      <w:r w:rsidR="006D1BF6" w:rsidRPr="00183775">
        <w:rPr>
          <w:szCs w:val="28"/>
        </w:rPr>
        <w:t xml:space="preserve">support for employer </w:t>
      </w:r>
      <w:r w:rsidR="00AC62DE">
        <w:rPr>
          <w:szCs w:val="28"/>
        </w:rPr>
        <w:t xml:space="preserve">and </w:t>
      </w:r>
      <w:r w:rsidR="006D1BF6" w:rsidRPr="00183775">
        <w:rPr>
          <w:szCs w:val="28"/>
        </w:rPr>
        <w:t>learner</w:t>
      </w:r>
      <w:r w:rsidR="00040761" w:rsidRPr="00183775">
        <w:rPr>
          <w:szCs w:val="28"/>
        </w:rPr>
        <w:t xml:space="preserve"> </w:t>
      </w:r>
    </w:p>
    <w:p w14:paraId="0B964E98" w14:textId="251A1EC0" w:rsidR="002A64F1" w:rsidRPr="00183775" w:rsidRDefault="00524873" w:rsidP="00910063">
      <w:pPr>
        <w:pStyle w:val="ListParagraph"/>
        <w:numPr>
          <w:ilvl w:val="0"/>
          <w:numId w:val="6"/>
        </w:numPr>
        <w:rPr>
          <w:szCs w:val="28"/>
        </w:rPr>
      </w:pPr>
      <w:r w:rsidRPr="00183775">
        <w:rPr>
          <w:szCs w:val="28"/>
        </w:rPr>
        <w:t>I</w:t>
      </w:r>
      <w:r w:rsidR="00040761" w:rsidRPr="00183775">
        <w:rPr>
          <w:szCs w:val="28"/>
        </w:rPr>
        <w:t xml:space="preserve">ncentives </w:t>
      </w:r>
      <w:r w:rsidR="00324F2C" w:rsidRPr="00183775">
        <w:rPr>
          <w:szCs w:val="28"/>
        </w:rPr>
        <w:t>to employers to offer apprenticeship and other career development programmes to disabled people (for instance</w:t>
      </w:r>
      <w:r w:rsidR="00910063" w:rsidRPr="00183775">
        <w:rPr>
          <w:szCs w:val="28"/>
        </w:rPr>
        <w:t>,</w:t>
      </w:r>
      <w:r w:rsidR="00324F2C" w:rsidRPr="00183775">
        <w:rPr>
          <w:szCs w:val="28"/>
        </w:rPr>
        <w:t xml:space="preserve"> tax or national insurance </w:t>
      </w:r>
      <w:r w:rsidR="00910063" w:rsidRPr="00183775">
        <w:rPr>
          <w:szCs w:val="28"/>
        </w:rPr>
        <w:t>incentives</w:t>
      </w:r>
      <w:r w:rsidR="00324F2C" w:rsidRPr="00183775">
        <w:rPr>
          <w:szCs w:val="28"/>
        </w:rPr>
        <w:t>)</w:t>
      </w:r>
      <w:r w:rsidR="00910063" w:rsidRPr="00183775">
        <w:rPr>
          <w:szCs w:val="28"/>
        </w:rPr>
        <w:t>.</w:t>
      </w:r>
      <w:r w:rsidR="00324F2C" w:rsidRPr="00183775">
        <w:rPr>
          <w:szCs w:val="28"/>
        </w:rPr>
        <w:t xml:space="preserve"> </w:t>
      </w:r>
    </w:p>
    <w:p w14:paraId="2051D425" w14:textId="77777777" w:rsidR="00831903" w:rsidRPr="00AC62DE" w:rsidRDefault="00831903">
      <w:pPr>
        <w:rPr>
          <w:b/>
          <w:color w:val="2E74B5" w:themeColor="accent1" w:themeShade="BF"/>
          <w:szCs w:val="28"/>
        </w:rPr>
      </w:pPr>
      <w:r w:rsidRPr="00AC62DE">
        <w:rPr>
          <w:b/>
          <w:color w:val="2E74B5" w:themeColor="accent1" w:themeShade="BF"/>
          <w:szCs w:val="28"/>
        </w:rPr>
        <w:t>Key insights</w:t>
      </w:r>
    </w:p>
    <w:p w14:paraId="0A793025" w14:textId="7AD994C1" w:rsidR="001D13A4" w:rsidRPr="00183775" w:rsidRDefault="001D13A4">
      <w:pPr>
        <w:rPr>
          <w:szCs w:val="28"/>
        </w:rPr>
      </w:pPr>
      <w:r w:rsidRPr="00183775">
        <w:rPr>
          <w:szCs w:val="28"/>
        </w:rPr>
        <w:t xml:space="preserve">There are great examples of good practice, but also </w:t>
      </w:r>
      <w:r w:rsidR="00910063" w:rsidRPr="00183775">
        <w:rPr>
          <w:szCs w:val="28"/>
        </w:rPr>
        <w:t xml:space="preserve">significant existing </w:t>
      </w:r>
      <w:r w:rsidRPr="00183775">
        <w:rPr>
          <w:szCs w:val="28"/>
        </w:rPr>
        <w:t xml:space="preserve">provision that </w:t>
      </w:r>
      <w:r w:rsidR="00910063" w:rsidRPr="00183775">
        <w:rPr>
          <w:szCs w:val="28"/>
        </w:rPr>
        <w:t xml:space="preserve">still </w:t>
      </w:r>
      <w:r w:rsidRPr="00183775">
        <w:rPr>
          <w:szCs w:val="28"/>
        </w:rPr>
        <w:t>does not match the success factors</w:t>
      </w:r>
      <w:r w:rsidR="00910063" w:rsidRPr="00183775">
        <w:rPr>
          <w:szCs w:val="28"/>
        </w:rPr>
        <w:t xml:space="preserve"> above</w:t>
      </w:r>
      <w:r w:rsidRPr="00183775">
        <w:rPr>
          <w:szCs w:val="28"/>
        </w:rPr>
        <w:t xml:space="preserve">. </w:t>
      </w:r>
    </w:p>
    <w:p w14:paraId="7E444862" w14:textId="57F0165D" w:rsidR="00324F2C" w:rsidRPr="00183775" w:rsidRDefault="001D13A4">
      <w:pPr>
        <w:rPr>
          <w:szCs w:val="28"/>
        </w:rPr>
      </w:pPr>
      <w:r w:rsidRPr="00183775">
        <w:rPr>
          <w:szCs w:val="28"/>
        </w:rPr>
        <w:t>For the future, t</w:t>
      </w:r>
      <w:r w:rsidR="007940E6" w:rsidRPr="00183775">
        <w:rPr>
          <w:szCs w:val="28"/>
        </w:rPr>
        <w:t xml:space="preserve">wo very significant ideas emerged from the reflective report. Firstly the importance of peer to peer support. Nearly fifty years ago the educationalist Bandura evidenced the importance </w:t>
      </w:r>
      <w:r w:rsidR="00FE5BBC" w:rsidRPr="00183775">
        <w:rPr>
          <w:szCs w:val="28"/>
        </w:rPr>
        <w:t xml:space="preserve">to learning </w:t>
      </w:r>
      <w:r w:rsidR="007940E6" w:rsidRPr="00183775">
        <w:rPr>
          <w:szCs w:val="28"/>
        </w:rPr>
        <w:t>of self-efficacy</w:t>
      </w:r>
      <w:r w:rsidR="00ED2AF5" w:rsidRPr="00183775">
        <w:rPr>
          <w:szCs w:val="28"/>
        </w:rPr>
        <w:t xml:space="preserve"> – a person’s belief in their ability to succeed in a particular situation</w:t>
      </w:r>
      <w:r w:rsidR="00324F2C" w:rsidRPr="00183775">
        <w:rPr>
          <w:szCs w:val="28"/>
        </w:rPr>
        <w:t xml:space="preserve">, </w:t>
      </w:r>
      <w:r w:rsidRPr="00183775">
        <w:rPr>
          <w:szCs w:val="28"/>
        </w:rPr>
        <w:t xml:space="preserve">best </w:t>
      </w:r>
      <w:r w:rsidR="00324F2C" w:rsidRPr="00183775">
        <w:rPr>
          <w:szCs w:val="28"/>
        </w:rPr>
        <w:t>learned</w:t>
      </w:r>
      <w:r w:rsidR="00ED2AF5" w:rsidRPr="00183775">
        <w:rPr>
          <w:szCs w:val="28"/>
        </w:rPr>
        <w:t xml:space="preserve"> </w:t>
      </w:r>
      <w:r w:rsidRPr="00183775">
        <w:rPr>
          <w:szCs w:val="28"/>
        </w:rPr>
        <w:t xml:space="preserve">from </w:t>
      </w:r>
      <w:r w:rsidR="00ED2AF5" w:rsidRPr="00183775">
        <w:rPr>
          <w:szCs w:val="28"/>
        </w:rPr>
        <w:t xml:space="preserve">others in social situations. His work </w:t>
      </w:r>
      <w:r w:rsidRPr="00183775">
        <w:rPr>
          <w:szCs w:val="28"/>
        </w:rPr>
        <w:t xml:space="preserve">is backed by recent evidence and </w:t>
      </w:r>
      <w:r w:rsidR="00ED2AF5" w:rsidRPr="00183775">
        <w:rPr>
          <w:szCs w:val="28"/>
        </w:rPr>
        <w:t xml:space="preserve">speaks to the present day need for newly disabled people to be connected in informal </w:t>
      </w:r>
      <w:r w:rsidRPr="00183775">
        <w:rPr>
          <w:szCs w:val="28"/>
        </w:rPr>
        <w:t xml:space="preserve">on-line or face to face </w:t>
      </w:r>
      <w:r w:rsidR="00ED2AF5" w:rsidRPr="00183775">
        <w:rPr>
          <w:szCs w:val="28"/>
        </w:rPr>
        <w:t>learning networks</w:t>
      </w:r>
      <w:r w:rsidR="00910063" w:rsidRPr="00183775">
        <w:rPr>
          <w:szCs w:val="28"/>
        </w:rPr>
        <w:t xml:space="preserve">, to </w:t>
      </w:r>
      <w:r w:rsidR="00183775">
        <w:rPr>
          <w:szCs w:val="28"/>
        </w:rPr>
        <w:t xml:space="preserve">gain encouragement </w:t>
      </w:r>
      <w:r w:rsidR="00910063" w:rsidRPr="00183775">
        <w:rPr>
          <w:szCs w:val="28"/>
        </w:rPr>
        <w:t>from others</w:t>
      </w:r>
      <w:r w:rsidR="00183775">
        <w:rPr>
          <w:szCs w:val="28"/>
        </w:rPr>
        <w:t xml:space="preserve"> who</w:t>
      </w:r>
      <w:r w:rsidR="00ED2AF5" w:rsidRPr="00183775">
        <w:rPr>
          <w:szCs w:val="28"/>
        </w:rPr>
        <w:t xml:space="preserve"> have found adaptations</w:t>
      </w:r>
      <w:r w:rsidR="00E927F2" w:rsidRPr="00183775">
        <w:rPr>
          <w:szCs w:val="28"/>
        </w:rPr>
        <w:t xml:space="preserve"> and</w:t>
      </w:r>
      <w:r w:rsidR="00ED2AF5" w:rsidRPr="00183775">
        <w:rPr>
          <w:szCs w:val="28"/>
        </w:rPr>
        <w:t xml:space="preserve"> </w:t>
      </w:r>
      <w:r w:rsidR="00E927F2" w:rsidRPr="00183775">
        <w:rPr>
          <w:szCs w:val="28"/>
        </w:rPr>
        <w:t>strategies for learning and working</w:t>
      </w:r>
      <w:r w:rsidR="00910063" w:rsidRPr="00183775">
        <w:rPr>
          <w:szCs w:val="28"/>
        </w:rPr>
        <w:t>.</w:t>
      </w:r>
      <w:r w:rsidR="00ED2AF5" w:rsidRPr="00183775">
        <w:rPr>
          <w:szCs w:val="28"/>
        </w:rPr>
        <w:t xml:space="preserve"> </w:t>
      </w:r>
    </w:p>
    <w:p w14:paraId="1C99D99B" w14:textId="6434B562" w:rsidR="00ED2AF5" w:rsidRPr="00183775" w:rsidRDefault="00ED2AF5">
      <w:pPr>
        <w:rPr>
          <w:szCs w:val="28"/>
        </w:rPr>
      </w:pPr>
      <w:r w:rsidRPr="00183775">
        <w:rPr>
          <w:szCs w:val="28"/>
        </w:rPr>
        <w:t xml:space="preserve">Secondly </w:t>
      </w:r>
      <w:r w:rsidR="00C67DF1" w:rsidRPr="00183775">
        <w:rPr>
          <w:szCs w:val="28"/>
        </w:rPr>
        <w:t>there is a need for disabled people to be able to exercise choice and control</w:t>
      </w:r>
      <w:r w:rsidR="00910063" w:rsidRPr="00183775">
        <w:rPr>
          <w:szCs w:val="28"/>
        </w:rPr>
        <w:t>,</w:t>
      </w:r>
      <w:r w:rsidR="00C67DF1" w:rsidRPr="00183775">
        <w:rPr>
          <w:szCs w:val="28"/>
        </w:rPr>
        <w:t xml:space="preserve"> being able to contract themselves </w:t>
      </w:r>
      <w:r w:rsidR="00140177" w:rsidRPr="00183775">
        <w:rPr>
          <w:szCs w:val="28"/>
        </w:rPr>
        <w:t>withi</w:t>
      </w:r>
      <w:r w:rsidR="00C67DF1" w:rsidRPr="00183775">
        <w:rPr>
          <w:szCs w:val="28"/>
        </w:rPr>
        <w:t xml:space="preserve">n their local labour market for the employment </w:t>
      </w:r>
      <w:r w:rsidR="00E927F2" w:rsidRPr="00183775">
        <w:rPr>
          <w:szCs w:val="28"/>
        </w:rPr>
        <w:t xml:space="preserve">support </w:t>
      </w:r>
      <w:r w:rsidR="00C67DF1" w:rsidRPr="00183775">
        <w:rPr>
          <w:szCs w:val="28"/>
        </w:rPr>
        <w:t xml:space="preserve">and training that will make a difference to their job prospects.  </w:t>
      </w:r>
    </w:p>
    <w:p w14:paraId="553DC87A" w14:textId="551F4A37" w:rsidR="00B159B3" w:rsidRPr="0043290F" w:rsidRDefault="00EF04F8" w:rsidP="00B159B3">
      <w:pPr>
        <w:rPr>
          <w:color w:val="2E74B5" w:themeColor="accent1" w:themeShade="BF"/>
          <w:szCs w:val="28"/>
        </w:rPr>
      </w:pPr>
      <w:r w:rsidRPr="0043290F">
        <w:rPr>
          <w:b/>
          <w:color w:val="2E74B5" w:themeColor="accent1" w:themeShade="BF"/>
          <w:szCs w:val="28"/>
        </w:rPr>
        <w:t xml:space="preserve">Some key evidence </w:t>
      </w:r>
      <w:r w:rsidR="00B159B3" w:rsidRPr="0043290F">
        <w:rPr>
          <w:b/>
          <w:color w:val="2E74B5" w:themeColor="accent1" w:themeShade="BF"/>
          <w:szCs w:val="28"/>
        </w:rPr>
        <w:t>that prompted these finding</w:t>
      </w:r>
      <w:r w:rsidRPr="0043290F">
        <w:rPr>
          <w:b/>
          <w:color w:val="2E74B5" w:themeColor="accent1" w:themeShade="BF"/>
          <w:szCs w:val="28"/>
        </w:rPr>
        <w:t>s</w:t>
      </w:r>
      <w:r w:rsidR="00B159B3" w:rsidRPr="0043290F">
        <w:rPr>
          <w:b/>
          <w:color w:val="2E74B5" w:themeColor="accent1" w:themeShade="BF"/>
          <w:szCs w:val="28"/>
        </w:rPr>
        <w:t xml:space="preserve"> and reflections</w:t>
      </w:r>
      <w:r w:rsidR="00B159B3" w:rsidRPr="0043290F">
        <w:rPr>
          <w:color w:val="2E74B5" w:themeColor="accent1" w:themeShade="BF"/>
          <w:szCs w:val="28"/>
        </w:rPr>
        <w:t>.</w:t>
      </w:r>
    </w:p>
    <w:p w14:paraId="3E40E0DD" w14:textId="10E737C9" w:rsidR="00B159B3" w:rsidRPr="00E83732" w:rsidRDefault="00962AAF" w:rsidP="00E83732">
      <w:pPr>
        <w:pStyle w:val="ListParagraph"/>
        <w:numPr>
          <w:ilvl w:val="0"/>
          <w:numId w:val="10"/>
        </w:numPr>
        <w:rPr>
          <w:color w:val="000000" w:themeColor="text1"/>
          <w:szCs w:val="28"/>
        </w:rPr>
      </w:pPr>
      <w:r w:rsidRPr="00E83732">
        <w:rPr>
          <w:color w:val="000000" w:themeColor="text1"/>
          <w:szCs w:val="28"/>
        </w:rPr>
        <w:t>Having qualifications significantly improve</w:t>
      </w:r>
      <w:r w:rsidR="00910063" w:rsidRPr="00E83732">
        <w:rPr>
          <w:color w:val="000000" w:themeColor="text1"/>
          <w:szCs w:val="28"/>
        </w:rPr>
        <w:t>s</w:t>
      </w:r>
      <w:r w:rsidRPr="00E83732">
        <w:rPr>
          <w:color w:val="000000" w:themeColor="text1"/>
          <w:szCs w:val="28"/>
        </w:rPr>
        <w:t xml:space="preserve"> the life chances and employment outcomes </w:t>
      </w:r>
      <w:r w:rsidR="00910063" w:rsidRPr="00E83732">
        <w:rPr>
          <w:color w:val="000000" w:themeColor="text1"/>
          <w:szCs w:val="28"/>
        </w:rPr>
        <w:t xml:space="preserve">of </w:t>
      </w:r>
      <w:r w:rsidRPr="00E83732">
        <w:rPr>
          <w:color w:val="000000" w:themeColor="text1"/>
          <w:szCs w:val="28"/>
        </w:rPr>
        <w:t xml:space="preserve">disabled people. </w:t>
      </w:r>
      <w:r w:rsidR="00910063" w:rsidRPr="00E83732">
        <w:rPr>
          <w:color w:val="000000" w:themeColor="text1"/>
          <w:szCs w:val="28"/>
        </w:rPr>
        <w:t>In</w:t>
      </w:r>
      <w:r w:rsidRPr="00E83732">
        <w:rPr>
          <w:color w:val="000000" w:themeColor="text1"/>
          <w:szCs w:val="28"/>
        </w:rPr>
        <w:t xml:space="preserve"> 2012, 71</w:t>
      </w:r>
      <w:r w:rsidR="00AC62DE" w:rsidRPr="00E83732">
        <w:rPr>
          <w:color w:val="000000" w:themeColor="text1"/>
          <w:szCs w:val="28"/>
        </w:rPr>
        <w:t>%</w:t>
      </w:r>
      <w:r w:rsidRPr="00E83732">
        <w:rPr>
          <w:color w:val="000000" w:themeColor="text1"/>
          <w:szCs w:val="28"/>
        </w:rPr>
        <w:t xml:space="preserve"> of disabled graduates had gained employment compared to 42</w:t>
      </w:r>
      <w:r w:rsidR="00AC62DE" w:rsidRPr="00E83732">
        <w:rPr>
          <w:color w:val="000000" w:themeColor="text1"/>
          <w:szCs w:val="28"/>
        </w:rPr>
        <w:t>%</w:t>
      </w:r>
      <w:r w:rsidRPr="00E83732">
        <w:rPr>
          <w:color w:val="000000" w:themeColor="text1"/>
          <w:szCs w:val="28"/>
        </w:rPr>
        <w:t xml:space="preserve"> of disabled non-graduates</w:t>
      </w:r>
      <w:r w:rsidR="00183775" w:rsidRPr="00E83732">
        <w:rPr>
          <w:rStyle w:val="FootnoteReference"/>
          <w:color w:val="000000" w:themeColor="text1"/>
          <w:szCs w:val="28"/>
        </w:rPr>
        <w:footnoteReference w:id="7"/>
      </w:r>
      <w:r w:rsidRPr="00E83732">
        <w:rPr>
          <w:color w:val="000000" w:themeColor="text1"/>
          <w:szCs w:val="28"/>
        </w:rPr>
        <w:t>.</w:t>
      </w:r>
    </w:p>
    <w:p w14:paraId="32E1E0F0" w14:textId="2E70E187" w:rsidR="00F16D85" w:rsidRPr="00E83732" w:rsidRDefault="007F09B1" w:rsidP="00E83732">
      <w:pPr>
        <w:pStyle w:val="ListParagraph"/>
        <w:numPr>
          <w:ilvl w:val="0"/>
          <w:numId w:val="10"/>
        </w:numPr>
        <w:rPr>
          <w:color w:val="000000" w:themeColor="text1"/>
          <w:szCs w:val="28"/>
        </w:rPr>
      </w:pPr>
      <w:r w:rsidRPr="00E83732">
        <w:rPr>
          <w:color w:val="000000" w:themeColor="text1"/>
          <w:szCs w:val="28"/>
        </w:rPr>
        <w:t xml:space="preserve">The UK has no direct equivalent of the widely praised Job Access Programme in Australia. </w:t>
      </w:r>
      <w:r w:rsidR="00324F2C" w:rsidRPr="00E83732">
        <w:rPr>
          <w:color w:val="000000" w:themeColor="text1"/>
          <w:szCs w:val="28"/>
        </w:rPr>
        <w:t>This free</w:t>
      </w:r>
      <w:r w:rsidRPr="00E83732">
        <w:rPr>
          <w:color w:val="000000" w:themeColor="text1"/>
          <w:szCs w:val="28"/>
        </w:rPr>
        <w:t xml:space="preserve"> </w:t>
      </w:r>
      <w:r w:rsidR="00324F2C" w:rsidRPr="00E83732">
        <w:rPr>
          <w:color w:val="000000" w:themeColor="text1"/>
          <w:szCs w:val="28"/>
        </w:rPr>
        <w:t xml:space="preserve">Helpline and </w:t>
      </w:r>
      <w:r w:rsidRPr="00E83732">
        <w:rPr>
          <w:color w:val="000000" w:themeColor="text1"/>
          <w:szCs w:val="28"/>
        </w:rPr>
        <w:t xml:space="preserve">internet </w:t>
      </w:r>
      <w:r w:rsidR="00324F2C" w:rsidRPr="00E83732">
        <w:rPr>
          <w:color w:val="000000" w:themeColor="text1"/>
          <w:szCs w:val="28"/>
        </w:rPr>
        <w:t>service offers</w:t>
      </w:r>
      <w:r w:rsidRPr="00E83732">
        <w:rPr>
          <w:color w:val="000000" w:themeColor="text1"/>
          <w:szCs w:val="28"/>
        </w:rPr>
        <w:t xml:space="preserve"> </w:t>
      </w:r>
      <w:r w:rsidR="00324F2C" w:rsidRPr="00E83732">
        <w:rPr>
          <w:color w:val="000000" w:themeColor="text1"/>
          <w:szCs w:val="28"/>
        </w:rPr>
        <w:t xml:space="preserve">thousands of web pages </w:t>
      </w:r>
      <w:r w:rsidRPr="00E83732">
        <w:rPr>
          <w:color w:val="000000" w:themeColor="text1"/>
          <w:szCs w:val="28"/>
        </w:rPr>
        <w:t xml:space="preserve">of adjustments and </w:t>
      </w:r>
      <w:r w:rsidR="00910063" w:rsidRPr="00E83732">
        <w:rPr>
          <w:color w:val="000000" w:themeColor="text1"/>
          <w:szCs w:val="28"/>
        </w:rPr>
        <w:t xml:space="preserve">workplace </w:t>
      </w:r>
      <w:r w:rsidRPr="00E83732">
        <w:rPr>
          <w:color w:val="000000" w:themeColor="text1"/>
          <w:szCs w:val="28"/>
        </w:rPr>
        <w:t xml:space="preserve">solutions, information on rights and responsibilities and </w:t>
      </w:r>
      <w:r w:rsidR="00324F2C" w:rsidRPr="00E83732">
        <w:rPr>
          <w:color w:val="000000" w:themeColor="text1"/>
          <w:szCs w:val="28"/>
        </w:rPr>
        <w:t xml:space="preserve">stories of </w:t>
      </w:r>
      <w:r w:rsidR="00183775" w:rsidRPr="00E83732">
        <w:rPr>
          <w:color w:val="000000" w:themeColor="text1"/>
          <w:szCs w:val="28"/>
        </w:rPr>
        <w:t xml:space="preserve">adapted </w:t>
      </w:r>
      <w:r w:rsidR="00324F2C" w:rsidRPr="00E83732">
        <w:rPr>
          <w:color w:val="000000" w:themeColor="text1"/>
          <w:szCs w:val="28"/>
        </w:rPr>
        <w:t>employment.</w:t>
      </w:r>
      <w:r w:rsidRPr="00E83732">
        <w:rPr>
          <w:color w:val="000000" w:themeColor="text1"/>
          <w:szCs w:val="28"/>
        </w:rPr>
        <w:t xml:space="preserve"> </w:t>
      </w:r>
      <w:r w:rsidR="00183775" w:rsidRPr="00E83732">
        <w:rPr>
          <w:color w:val="000000" w:themeColor="text1"/>
          <w:szCs w:val="28"/>
        </w:rPr>
        <w:t>It is</w:t>
      </w:r>
      <w:r w:rsidRPr="00E83732">
        <w:rPr>
          <w:color w:val="000000" w:themeColor="text1"/>
          <w:szCs w:val="28"/>
        </w:rPr>
        <w:t xml:space="preserve"> available to </w:t>
      </w:r>
      <w:r w:rsidR="00324F2C" w:rsidRPr="00E83732">
        <w:rPr>
          <w:color w:val="000000" w:themeColor="text1"/>
          <w:szCs w:val="28"/>
        </w:rPr>
        <w:t xml:space="preserve">disabled </w:t>
      </w:r>
      <w:r w:rsidRPr="00E83732">
        <w:rPr>
          <w:color w:val="000000" w:themeColor="text1"/>
          <w:szCs w:val="28"/>
        </w:rPr>
        <w:t>people, employers and employment service providers.</w:t>
      </w:r>
    </w:p>
    <w:p w14:paraId="0E8EC1FB" w14:textId="674933E3" w:rsidR="000B7EE6" w:rsidRPr="00E83732" w:rsidRDefault="000B7EE6" w:rsidP="00E83732">
      <w:pPr>
        <w:pStyle w:val="ListParagraph"/>
        <w:numPr>
          <w:ilvl w:val="0"/>
          <w:numId w:val="10"/>
        </w:numPr>
        <w:rPr>
          <w:iCs/>
          <w:color w:val="000000" w:themeColor="text1"/>
          <w:szCs w:val="28"/>
        </w:rPr>
      </w:pPr>
      <w:r w:rsidRPr="00E83732">
        <w:rPr>
          <w:iCs/>
          <w:color w:val="000000" w:themeColor="text1"/>
          <w:szCs w:val="28"/>
        </w:rPr>
        <w:t xml:space="preserve">In Austria, Peer Counselling </w:t>
      </w:r>
      <w:r w:rsidR="00324F2C" w:rsidRPr="00E83732">
        <w:rPr>
          <w:iCs/>
          <w:color w:val="000000" w:themeColor="text1"/>
          <w:szCs w:val="28"/>
        </w:rPr>
        <w:t xml:space="preserve">has been recognised </w:t>
      </w:r>
      <w:r w:rsidRPr="00E83732">
        <w:rPr>
          <w:iCs/>
          <w:color w:val="000000" w:themeColor="text1"/>
          <w:szCs w:val="28"/>
        </w:rPr>
        <w:t xml:space="preserve">as a social profession for people </w:t>
      </w:r>
      <w:r w:rsidR="00AC62DE" w:rsidRPr="00E83732">
        <w:rPr>
          <w:iCs/>
          <w:color w:val="000000" w:themeColor="text1"/>
          <w:szCs w:val="28"/>
        </w:rPr>
        <w:t>living with disability</w:t>
      </w:r>
      <w:r w:rsidRPr="00E83732">
        <w:rPr>
          <w:iCs/>
          <w:color w:val="000000" w:themeColor="text1"/>
          <w:szCs w:val="28"/>
        </w:rPr>
        <w:t xml:space="preserve"> to provide role model</w:t>
      </w:r>
      <w:r w:rsidR="00910063" w:rsidRPr="00E83732">
        <w:rPr>
          <w:iCs/>
          <w:color w:val="000000" w:themeColor="text1"/>
          <w:szCs w:val="28"/>
        </w:rPr>
        <w:t>s</w:t>
      </w:r>
      <w:r w:rsidRPr="00E83732">
        <w:rPr>
          <w:iCs/>
          <w:color w:val="000000" w:themeColor="text1"/>
          <w:szCs w:val="28"/>
        </w:rPr>
        <w:t xml:space="preserve"> </w:t>
      </w:r>
      <w:r w:rsidR="00910063" w:rsidRPr="00E83732">
        <w:rPr>
          <w:iCs/>
          <w:color w:val="000000" w:themeColor="text1"/>
          <w:szCs w:val="28"/>
        </w:rPr>
        <w:t xml:space="preserve">and sources of experienced </w:t>
      </w:r>
      <w:r w:rsidRPr="00E83732">
        <w:rPr>
          <w:iCs/>
          <w:color w:val="000000" w:themeColor="text1"/>
          <w:szCs w:val="28"/>
        </w:rPr>
        <w:t xml:space="preserve">advice to peers.  It is designed to empower disabled people to enable them to lead an independent life, and to participate fully in society including </w:t>
      </w:r>
      <w:r w:rsidR="00183775" w:rsidRPr="00E83732">
        <w:rPr>
          <w:iCs/>
          <w:color w:val="000000" w:themeColor="text1"/>
          <w:szCs w:val="28"/>
        </w:rPr>
        <w:t xml:space="preserve">in </w:t>
      </w:r>
      <w:r w:rsidRPr="00E83732">
        <w:rPr>
          <w:iCs/>
          <w:color w:val="000000" w:themeColor="text1"/>
          <w:szCs w:val="28"/>
        </w:rPr>
        <w:t>employment</w:t>
      </w:r>
      <w:r w:rsidR="00910063" w:rsidRPr="00E83732">
        <w:rPr>
          <w:rStyle w:val="FootnoteReference"/>
          <w:iCs/>
          <w:color w:val="000000" w:themeColor="text1"/>
          <w:szCs w:val="28"/>
        </w:rPr>
        <w:footnoteReference w:id="8"/>
      </w:r>
      <w:r w:rsidRPr="00E83732">
        <w:rPr>
          <w:iCs/>
          <w:color w:val="000000" w:themeColor="text1"/>
          <w:szCs w:val="28"/>
        </w:rPr>
        <w:t xml:space="preserve"> </w:t>
      </w:r>
      <w:r w:rsidR="00F16D85" w:rsidRPr="00E83732">
        <w:rPr>
          <w:iCs/>
          <w:color w:val="000000" w:themeColor="text1"/>
          <w:szCs w:val="28"/>
        </w:rPr>
        <w:t>.</w:t>
      </w:r>
    </w:p>
    <w:p w14:paraId="4544850D" w14:textId="195B4901" w:rsidR="00F16D85" w:rsidRPr="00E83732" w:rsidRDefault="00F16D85" w:rsidP="00E83732">
      <w:pPr>
        <w:pStyle w:val="ListParagraph"/>
        <w:numPr>
          <w:ilvl w:val="0"/>
          <w:numId w:val="10"/>
        </w:numPr>
        <w:rPr>
          <w:color w:val="000000" w:themeColor="text1"/>
          <w:szCs w:val="28"/>
        </w:rPr>
      </w:pPr>
      <w:r w:rsidRPr="00E83732">
        <w:rPr>
          <w:iCs/>
          <w:color w:val="000000" w:themeColor="text1"/>
          <w:szCs w:val="28"/>
        </w:rPr>
        <w:t>Employers</w:t>
      </w:r>
      <w:r w:rsidR="00EF04F8" w:rsidRPr="00E83732">
        <w:rPr>
          <w:iCs/>
          <w:color w:val="000000" w:themeColor="text1"/>
          <w:szCs w:val="28"/>
        </w:rPr>
        <w:t>’</w:t>
      </w:r>
      <w:r w:rsidRPr="00E83732">
        <w:rPr>
          <w:iCs/>
          <w:color w:val="000000" w:themeColor="text1"/>
          <w:szCs w:val="28"/>
        </w:rPr>
        <w:t xml:space="preserve"> top priority for their new recruits is experience and experience of employment is a strong predictor of securing employment</w:t>
      </w:r>
      <w:r w:rsidR="00183775" w:rsidRPr="00E83732">
        <w:rPr>
          <w:rStyle w:val="FootnoteReference"/>
          <w:iCs/>
          <w:color w:val="000000" w:themeColor="text1"/>
          <w:szCs w:val="28"/>
        </w:rPr>
        <w:footnoteReference w:id="9"/>
      </w:r>
      <w:r w:rsidRPr="00E83732">
        <w:rPr>
          <w:iCs/>
          <w:color w:val="000000" w:themeColor="text1"/>
          <w:szCs w:val="28"/>
        </w:rPr>
        <w:t>.</w:t>
      </w:r>
    </w:p>
    <w:p w14:paraId="3CBF07FA" w14:textId="77777777" w:rsidR="00183775" w:rsidRPr="00E83732" w:rsidRDefault="00EF04F8" w:rsidP="00E83732">
      <w:pPr>
        <w:pStyle w:val="ListParagraph"/>
        <w:numPr>
          <w:ilvl w:val="0"/>
          <w:numId w:val="10"/>
        </w:numPr>
        <w:spacing w:before="40" w:after="100"/>
        <w:rPr>
          <w:rFonts w:cs="FS Me Light"/>
          <w:color w:val="000000" w:themeColor="text1"/>
          <w:szCs w:val="28"/>
          <w:lang w:eastAsia="en-GB"/>
        </w:rPr>
      </w:pPr>
      <w:r w:rsidRPr="00E83732">
        <w:rPr>
          <w:color w:val="000000" w:themeColor="text1"/>
          <w:szCs w:val="28"/>
        </w:rPr>
        <w:t xml:space="preserve">Support that focuses on rapid job search, with flexible support has strong results. </w:t>
      </w:r>
      <w:r w:rsidR="001A34B9" w:rsidRPr="00E83732">
        <w:rPr>
          <w:color w:val="000000" w:themeColor="text1"/>
          <w:szCs w:val="28"/>
        </w:rPr>
        <w:t>A recent evaluation of 15 randomised controlled trials using I</w:t>
      </w:r>
      <w:r w:rsidRPr="00E83732">
        <w:rPr>
          <w:color w:val="000000" w:themeColor="text1"/>
          <w:szCs w:val="28"/>
        </w:rPr>
        <w:t>ndividual Placement with Support (I</w:t>
      </w:r>
      <w:r w:rsidR="001A34B9" w:rsidRPr="00E83732">
        <w:rPr>
          <w:color w:val="000000" w:themeColor="text1"/>
          <w:szCs w:val="28"/>
        </w:rPr>
        <w:t>PS</w:t>
      </w:r>
      <w:r w:rsidRPr="00E83732">
        <w:rPr>
          <w:color w:val="000000" w:themeColor="text1"/>
          <w:szCs w:val="28"/>
        </w:rPr>
        <w:t>)</w:t>
      </w:r>
      <w:r w:rsidR="001A34B9" w:rsidRPr="00E83732">
        <w:rPr>
          <w:color w:val="000000" w:themeColor="text1"/>
          <w:szCs w:val="28"/>
        </w:rPr>
        <w:t xml:space="preserve"> </w:t>
      </w:r>
      <w:r w:rsidR="00183775" w:rsidRPr="00E83732">
        <w:rPr>
          <w:rStyle w:val="FootnoteReference"/>
          <w:color w:val="000000" w:themeColor="text1"/>
          <w:szCs w:val="28"/>
        </w:rPr>
        <w:footnoteReference w:id="10"/>
      </w:r>
      <w:r w:rsidR="001A34B9" w:rsidRPr="00E83732">
        <w:rPr>
          <w:color w:val="000000" w:themeColor="text1"/>
          <w:szCs w:val="28"/>
        </w:rPr>
        <w:t xml:space="preserve"> found that 60 </w:t>
      </w:r>
      <w:r w:rsidRPr="00E83732">
        <w:rPr>
          <w:color w:val="000000" w:themeColor="text1"/>
          <w:szCs w:val="28"/>
        </w:rPr>
        <w:t>%</w:t>
      </w:r>
      <w:r w:rsidR="001A34B9" w:rsidRPr="00E83732">
        <w:rPr>
          <w:color w:val="000000" w:themeColor="text1"/>
          <w:szCs w:val="28"/>
        </w:rPr>
        <w:t xml:space="preserve"> of people with severe mental health issues recruited to IPS obtain</w:t>
      </w:r>
      <w:r w:rsidRPr="00E83732">
        <w:rPr>
          <w:color w:val="000000" w:themeColor="text1"/>
          <w:szCs w:val="28"/>
        </w:rPr>
        <w:t>ed</w:t>
      </w:r>
      <w:r w:rsidR="001A34B9" w:rsidRPr="00E83732">
        <w:rPr>
          <w:color w:val="000000" w:themeColor="text1"/>
          <w:szCs w:val="28"/>
        </w:rPr>
        <w:t xml:space="preserve"> competitive employment compared to 25</w:t>
      </w:r>
      <w:r w:rsidR="00183775" w:rsidRPr="00E83732">
        <w:rPr>
          <w:color w:val="000000" w:themeColor="text1"/>
          <w:szCs w:val="28"/>
        </w:rPr>
        <w:t xml:space="preserve">% </w:t>
      </w:r>
      <w:r w:rsidR="001A34B9" w:rsidRPr="00E83732">
        <w:rPr>
          <w:color w:val="000000" w:themeColor="text1"/>
          <w:szCs w:val="28"/>
        </w:rPr>
        <w:t>of those on other types of vocational preparation.</w:t>
      </w:r>
    </w:p>
    <w:p w14:paraId="5124A1F6" w14:textId="1EFCFE27" w:rsidR="00F00FC7" w:rsidRPr="00F00FC7" w:rsidRDefault="00EF04F8" w:rsidP="001E4695">
      <w:pPr>
        <w:pStyle w:val="ListParagraph"/>
        <w:numPr>
          <w:ilvl w:val="0"/>
          <w:numId w:val="10"/>
        </w:numPr>
        <w:spacing w:before="40" w:after="100"/>
        <w:rPr>
          <w:szCs w:val="28"/>
        </w:rPr>
      </w:pPr>
      <w:r w:rsidRPr="00F00FC7">
        <w:rPr>
          <w:color w:val="000000" w:themeColor="text1"/>
          <w:szCs w:val="28"/>
        </w:rPr>
        <w:t>E</w:t>
      </w:r>
      <w:r w:rsidR="00210F82" w:rsidRPr="00F00FC7">
        <w:rPr>
          <w:color w:val="000000" w:themeColor="text1"/>
          <w:szCs w:val="28"/>
        </w:rPr>
        <w:t>valuation of the Work Programme suggests providers were able to do more for applicants facing fewer barriers</w:t>
      </w:r>
      <w:r w:rsidRPr="00F00FC7">
        <w:rPr>
          <w:color w:val="000000" w:themeColor="text1"/>
          <w:szCs w:val="28"/>
        </w:rPr>
        <w:t>;</w:t>
      </w:r>
      <w:r w:rsidR="00210F82" w:rsidRPr="00F00FC7">
        <w:rPr>
          <w:color w:val="000000" w:themeColor="text1"/>
          <w:szCs w:val="28"/>
        </w:rPr>
        <w:t xml:space="preserve"> and support for those requiring more specialist help was less widespread</w:t>
      </w:r>
      <w:r w:rsidR="00183775" w:rsidRPr="00E83732">
        <w:rPr>
          <w:rStyle w:val="FootnoteReference"/>
          <w:color w:val="000000" w:themeColor="text1"/>
          <w:szCs w:val="28"/>
        </w:rPr>
        <w:footnoteReference w:id="11"/>
      </w:r>
      <w:r w:rsidR="00183775" w:rsidRPr="00F00FC7">
        <w:rPr>
          <w:color w:val="000000" w:themeColor="text1"/>
          <w:szCs w:val="28"/>
        </w:rPr>
        <w:t>.</w:t>
      </w:r>
    </w:p>
    <w:p w14:paraId="0E36ECA7" w14:textId="200B2CCB" w:rsidR="00B159B3" w:rsidRDefault="00210F82" w:rsidP="00F00FC7">
      <w:pPr>
        <w:spacing w:before="40" w:after="100"/>
        <w:rPr>
          <w:szCs w:val="28"/>
        </w:rPr>
      </w:pPr>
      <w:r w:rsidRPr="00F00FC7">
        <w:rPr>
          <w:szCs w:val="28"/>
        </w:rPr>
        <w:t xml:space="preserve">The reports contain the full references, detailed proposals and a road map for implementation:  </w:t>
      </w:r>
      <w:hyperlink r:id="rId9" w:history="1">
        <w:r w:rsidR="00AC62DE" w:rsidRPr="00F00FC7">
          <w:rPr>
            <w:rStyle w:val="Hyperlink"/>
            <w:color w:val="034990" w:themeColor="hyperlink" w:themeShade="BF"/>
            <w:szCs w:val="28"/>
          </w:rPr>
          <w:t>www.disabilityrightsuk/</w:t>
        </w:r>
      </w:hyperlink>
      <w:r w:rsidR="00AC62DE" w:rsidRPr="00F00FC7">
        <w:rPr>
          <w:color w:val="2E74B5" w:themeColor="accent1" w:themeShade="BF"/>
          <w:szCs w:val="28"/>
        </w:rPr>
        <w:t xml:space="preserve"> </w:t>
      </w:r>
      <w:r w:rsidRPr="00F00FC7">
        <w:rPr>
          <w:szCs w:val="28"/>
        </w:rPr>
        <w:t xml:space="preserve">   Tel: 0207 250 -</w:t>
      </w:r>
      <w:r w:rsidR="00AC62DE" w:rsidRPr="00F00FC7">
        <w:rPr>
          <w:szCs w:val="28"/>
        </w:rPr>
        <w:t xml:space="preserve"> </w:t>
      </w:r>
      <w:r w:rsidRPr="00F00FC7">
        <w:rPr>
          <w:szCs w:val="28"/>
        </w:rPr>
        <w:t xml:space="preserve">8192 </w:t>
      </w:r>
    </w:p>
    <w:p w14:paraId="20DD97EA" w14:textId="7019BDFA" w:rsidR="00F00FC7" w:rsidRPr="00F00FC7" w:rsidRDefault="00F00FC7" w:rsidP="00F00FC7">
      <w:pPr>
        <w:spacing w:before="40" w:after="100"/>
        <w:rPr>
          <w:b/>
          <w:szCs w:val="28"/>
        </w:rPr>
      </w:pPr>
      <w:r w:rsidRPr="00F00FC7">
        <w:rPr>
          <w:b/>
          <w:szCs w:val="28"/>
        </w:rPr>
        <w:t>January 2015</w:t>
      </w:r>
    </w:p>
    <w:sectPr w:rsidR="00F00FC7" w:rsidRPr="00F00FC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D53C" w14:textId="77777777" w:rsidR="00B62CD6" w:rsidRDefault="00B62CD6" w:rsidP="00B47064">
      <w:pPr>
        <w:spacing w:after="0" w:line="240" w:lineRule="auto"/>
      </w:pPr>
      <w:r>
        <w:separator/>
      </w:r>
    </w:p>
  </w:endnote>
  <w:endnote w:type="continuationSeparator" w:id="0">
    <w:p w14:paraId="5DBAE17D" w14:textId="77777777" w:rsidR="00B62CD6" w:rsidRDefault="00B62CD6" w:rsidP="00B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82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BD2D" w14:textId="60449AEF" w:rsidR="00B47064" w:rsidRDefault="00B47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E2754" w14:textId="77777777" w:rsidR="00B47064" w:rsidRDefault="00B47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6440E" w14:textId="77777777" w:rsidR="00B62CD6" w:rsidRDefault="00B62CD6" w:rsidP="00B47064">
      <w:pPr>
        <w:spacing w:after="0" w:line="240" w:lineRule="auto"/>
      </w:pPr>
      <w:r>
        <w:separator/>
      </w:r>
    </w:p>
  </w:footnote>
  <w:footnote w:type="continuationSeparator" w:id="0">
    <w:p w14:paraId="0D1E5A34" w14:textId="77777777" w:rsidR="00B62CD6" w:rsidRDefault="00B62CD6" w:rsidP="00B47064">
      <w:pPr>
        <w:spacing w:after="0" w:line="240" w:lineRule="auto"/>
      </w:pPr>
      <w:r>
        <w:continuationSeparator/>
      </w:r>
    </w:p>
  </w:footnote>
  <w:footnote w:id="1">
    <w:p w14:paraId="06F6AE68" w14:textId="48F9DCA4" w:rsidR="009A735B" w:rsidRDefault="009A735B">
      <w:pPr>
        <w:pStyle w:val="FootnoteText"/>
      </w:pPr>
      <w:r>
        <w:rPr>
          <w:rStyle w:val="FootnoteReference"/>
        </w:rPr>
        <w:footnoteRef/>
      </w:r>
      <w:r>
        <w:t xml:space="preserve"> EHRC (2010) How Fair is Britain?</w:t>
      </w:r>
    </w:p>
  </w:footnote>
  <w:footnote w:id="2">
    <w:p w14:paraId="65B7181D" w14:textId="6ADBBE3F" w:rsidR="00A50B90" w:rsidRDefault="00A50B90">
      <w:pPr>
        <w:pStyle w:val="FootnoteText"/>
      </w:pPr>
      <w:r>
        <w:rPr>
          <w:rStyle w:val="FootnoteReference"/>
        </w:rPr>
        <w:footnoteRef/>
      </w:r>
      <w:r>
        <w:t xml:space="preserve"> ODI </w:t>
      </w:r>
      <w:r w:rsidR="009A735B">
        <w:t>(</w:t>
      </w:r>
      <w:r>
        <w:t>2013</w:t>
      </w:r>
      <w:r w:rsidR="009A735B">
        <w:t>)</w:t>
      </w:r>
      <w:r>
        <w:t xml:space="preserve"> Fulfilling Potential: Building the Evidence Base. Notes that 33% of disabled 19 year olds were in higher education compared to 41% of non-disabled peers.  </w:t>
      </w:r>
    </w:p>
  </w:footnote>
  <w:footnote w:id="3">
    <w:p w14:paraId="1904069F" w14:textId="6B5A6058" w:rsidR="009A735B" w:rsidRDefault="009A735B">
      <w:pPr>
        <w:pStyle w:val="FootnoteText"/>
      </w:pPr>
      <w:r>
        <w:rPr>
          <w:rStyle w:val="FootnoteReference"/>
        </w:rPr>
        <w:footnoteRef/>
      </w:r>
      <w:r>
        <w:t xml:space="preserve"> ODI 2013 op cit</w:t>
      </w:r>
    </w:p>
  </w:footnote>
  <w:footnote w:id="4">
    <w:p w14:paraId="2173C79E" w14:textId="0F77504E" w:rsidR="00524873" w:rsidRDefault="005248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4873">
        <w:t>https://www.gov.uk/government/news/disabled-people-in-apprenticeships-triples-in-10-years</w:t>
      </w:r>
    </w:p>
  </w:footnote>
  <w:footnote w:id="5">
    <w:p w14:paraId="7E776D36" w14:textId="5585FA2D" w:rsidR="00524873" w:rsidRDefault="00524873">
      <w:pPr>
        <w:pStyle w:val="FootnoteText"/>
      </w:pPr>
      <w:r>
        <w:rPr>
          <w:rStyle w:val="FootnoteReference"/>
        </w:rPr>
        <w:footnoteRef/>
      </w:r>
      <w:r>
        <w:t xml:space="preserve"> Social Market Foundation (2007). Disability, Skills and Work: raising our ambition </w:t>
      </w:r>
    </w:p>
  </w:footnote>
  <w:footnote w:id="6">
    <w:p w14:paraId="4925CF76" w14:textId="7A424040" w:rsidR="00910063" w:rsidRDefault="00910063">
      <w:pPr>
        <w:pStyle w:val="FootnoteText"/>
      </w:pPr>
      <w:r>
        <w:rPr>
          <w:rStyle w:val="FootnoteReference"/>
        </w:rPr>
        <w:footnoteRef/>
      </w:r>
      <w:r>
        <w:t xml:space="preserve"> UK Commission for Employment and Skills (2014) Careers of the Future</w:t>
      </w:r>
    </w:p>
  </w:footnote>
  <w:footnote w:id="7">
    <w:p w14:paraId="0F61B0BA" w14:textId="6CD62937" w:rsidR="00183775" w:rsidRDefault="00183775">
      <w:pPr>
        <w:pStyle w:val="FootnoteText"/>
      </w:pPr>
      <w:r>
        <w:rPr>
          <w:rStyle w:val="FootnoteReference"/>
        </w:rPr>
        <w:footnoteRef/>
      </w:r>
      <w:r>
        <w:t xml:space="preserve"> ODI 2013 op cit</w:t>
      </w:r>
    </w:p>
  </w:footnote>
  <w:footnote w:id="8">
    <w:p w14:paraId="561642D5" w14:textId="5E6E2AD4" w:rsidR="00910063" w:rsidRPr="00AC62DE" w:rsidRDefault="00910063" w:rsidP="00E83732">
      <w:pPr>
        <w:pStyle w:val="FootnoteText"/>
      </w:pPr>
      <w:r w:rsidRPr="00E83732">
        <w:footnoteRef/>
      </w:r>
      <w:r w:rsidRPr="00183775">
        <w:t xml:space="preserve"> </w:t>
      </w:r>
      <w:r w:rsidRPr="00AC62DE">
        <w:t xml:space="preserve">Fembek, M., Butcher, T.H., Heindorf, I., Wallner-Mikl, C. (2012) </w:t>
      </w:r>
      <w:r w:rsidRPr="00E83732">
        <w:t xml:space="preserve">Zero Project Report 2013 </w:t>
      </w:r>
      <w:r w:rsidRPr="00AC62DE">
        <w:t>Essl Foundation</w:t>
      </w:r>
    </w:p>
  </w:footnote>
  <w:footnote w:id="9">
    <w:p w14:paraId="0F01D447" w14:textId="533CCC15" w:rsidR="00183775" w:rsidRPr="00AC62DE" w:rsidRDefault="00183775" w:rsidP="00E83732">
      <w:pPr>
        <w:pStyle w:val="FootnoteText"/>
      </w:pPr>
      <w:r w:rsidRPr="00E83732">
        <w:footnoteRef/>
      </w:r>
      <w:r w:rsidRPr="00AC62DE">
        <w:t xml:space="preserve"> UK Commission for Employment and Skills (2012a) </w:t>
      </w:r>
      <w:r w:rsidRPr="00E83732">
        <w:t xml:space="preserve">UK Commission’s Employer Perspectives Survey 2012, </w:t>
      </w:r>
      <w:r w:rsidRPr="00AC62DE">
        <w:t>UKCES</w:t>
      </w:r>
    </w:p>
  </w:footnote>
  <w:footnote w:id="10">
    <w:p w14:paraId="203CB1A1" w14:textId="4DF1E075" w:rsidR="00183775" w:rsidRPr="00AC62DE" w:rsidRDefault="00183775" w:rsidP="00E83732">
      <w:pPr>
        <w:pStyle w:val="FootnoteText"/>
      </w:pPr>
      <w:r w:rsidRPr="00E83732">
        <w:footnoteRef/>
      </w:r>
      <w:r w:rsidRPr="00AC62DE">
        <w:t xml:space="preserve"> </w:t>
      </w:r>
      <w:r w:rsidRPr="00E83732">
        <w:t>Bond, G.R., Drake, R.E., Becker, D.R. (2012) Generalisability of the Individual Placement and Support (IPS) model of supported employment outside the US World Psychiatry Vol 11 (1); pp32-39</w:t>
      </w:r>
    </w:p>
  </w:footnote>
  <w:footnote w:id="11">
    <w:p w14:paraId="6DD20410" w14:textId="77777777" w:rsidR="00183775" w:rsidRPr="00E83732" w:rsidRDefault="00183775" w:rsidP="00E83732">
      <w:pPr>
        <w:pStyle w:val="FootnoteText"/>
      </w:pPr>
      <w:r w:rsidRPr="00E83732">
        <w:footnoteRef/>
      </w:r>
      <w:r w:rsidRPr="00AC62DE">
        <w:t xml:space="preserve"> Newton, B., Meager, N., Bertram, C., Corden, A., George, A.., Lalani, M., Metcalf, H., Rolfe, H., Sainsbury, R. and Weston, K.  </w:t>
      </w:r>
      <w:r w:rsidRPr="00E83732">
        <w:t>Work Programme evaluation: Findings from the first phase of qualitative research on programme delivery Department for Work and Pensions, HMSO, London</w:t>
      </w:r>
    </w:p>
    <w:p w14:paraId="09C7FFAB" w14:textId="3F139899" w:rsidR="00183775" w:rsidRDefault="00183775" w:rsidP="00AC62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57C"/>
    <w:multiLevelType w:val="hybridMultilevel"/>
    <w:tmpl w:val="E5EC10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16A77"/>
    <w:multiLevelType w:val="hybridMultilevel"/>
    <w:tmpl w:val="4EC8C0E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93019"/>
    <w:multiLevelType w:val="hybridMultilevel"/>
    <w:tmpl w:val="BDB8C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368B7"/>
    <w:multiLevelType w:val="hybridMultilevel"/>
    <w:tmpl w:val="0340F2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03DF"/>
    <w:multiLevelType w:val="hybridMultilevel"/>
    <w:tmpl w:val="7C7E5D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660E29"/>
    <w:multiLevelType w:val="hybridMultilevel"/>
    <w:tmpl w:val="FB463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260"/>
    <w:multiLevelType w:val="hybridMultilevel"/>
    <w:tmpl w:val="C1DC97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5842"/>
    <w:multiLevelType w:val="hybridMultilevel"/>
    <w:tmpl w:val="B9184D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F0C33"/>
    <w:multiLevelType w:val="hybridMultilevel"/>
    <w:tmpl w:val="7E865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1741D"/>
    <w:multiLevelType w:val="hybridMultilevel"/>
    <w:tmpl w:val="86F87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0"/>
    <w:rsid w:val="00040761"/>
    <w:rsid w:val="000B7EE6"/>
    <w:rsid w:val="00140177"/>
    <w:rsid w:val="00156CAE"/>
    <w:rsid w:val="00183775"/>
    <w:rsid w:val="001A34B9"/>
    <w:rsid w:val="001B0559"/>
    <w:rsid w:val="001D13A4"/>
    <w:rsid w:val="00210F82"/>
    <w:rsid w:val="002A64F1"/>
    <w:rsid w:val="00315500"/>
    <w:rsid w:val="00324F2C"/>
    <w:rsid w:val="0036136B"/>
    <w:rsid w:val="0043290F"/>
    <w:rsid w:val="004A752B"/>
    <w:rsid w:val="00524873"/>
    <w:rsid w:val="00536EE3"/>
    <w:rsid w:val="006827C1"/>
    <w:rsid w:val="006D1BF6"/>
    <w:rsid w:val="007940E6"/>
    <w:rsid w:val="007F09B1"/>
    <w:rsid w:val="008228A3"/>
    <w:rsid w:val="00831903"/>
    <w:rsid w:val="00910063"/>
    <w:rsid w:val="00962AAF"/>
    <w:rsid w:val="009A735B"/>
    <w:rsid w:val="009B6565"/>
    <w:rsid w:val="00A455D2"/>
    <w:rsid w:val="00A50B90"/>
    <w:rsid w:val="00AC62DE"/>
    <w:rsid w:val="00AE46FD"/>
    <w:rsid w:val="00B159B3"/>
    <w:rsid w:val="00B47064"/>
    <w:rsid w:val="00B62CD6"/>
    <w:rsid w:val="00BD5DD2"/>
    <w:rsid w:val="00C67DF1"/>
    <w:rsid w:val="00D37310"/>
    <w:rsid w:val="00E83732"/>
    <w:rsid w:val="00E927F2"/>
    <w:rsid w:val="00ED2AF5"/>
    <w:rsid w:val="00EF04F8"/>
    <w:rsid w:val="00F00FC7"/>
    <w:rsid w:val="00F16D85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BE1C"/>
  <w15:chartTrackingRefBased/>
  <w15:docId w15:val="{AA0B567A-24F3-4B1B-AFE3-0054346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D85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210F82"/>
    <w:pPr>
      <w:autoSpaceDE w:val="0"/>
      <w:autoSpaceDN w:val="0"/>
      <w:adjustRightInd w:val="0"/>
      <w:spacing w:after="0" w:line="271" w:lineRule="atLeast"/>
    </w:pPr>
    <w:rPr>
      <w:rFonts w:ascii="Myriad Pro" w:eastAsia="SimSun" w:hAnsi="Myriad Pro" w:cs="Arial"/>
      <w:color w:val="222222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B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64"/>
  </w:style>
  <w:style w:type="paragraph" w:styleId="Footer">
    <w:name w:val="footer"/>
    <w:basedOn w:val="Normal"/>
    <w:link w:val="FooterChar"/>
    <w:uiPriority w:val="99"/>
    <w:unhideWhenUsed/>
    <w:rsid w:val="00B47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64"/>
  </w:style>
  <w:style w:type="paragraph" w:styleId="FootnoteText">
    <w:name w:val="footnote text"/>
    <w:basedOn w:val="Normal"/>
    <w:link w:val="FootnoteTextChar"/>
    <w:uiPriority w:val="99"/>
    <w:semiHidden/>
    <w:unhideWhenUsed/>
    <w:rsid w:val="00A50B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abilityrights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0ABF-0A35-4CE2-8C00-9B1E5ED8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Connolly</dc:creator>
  <cp:keywords/>
  <dc:description/>
  <cp:lastModifiedBy>Minch</cp:lastModifiedBy>
  <cp:revision>2</cp:revision>
  <cp:lastPrinted>2015-03-02T14:11:00Z</cp:lastPrinted>
  <dcterms:created xsi:type="dcterms:W3CDTF">2015-03-02T14:59:00Z</dcterms:created>
  <dcterms:modified xsi:type="dcterms:W3CDTF">2015-03-02T14:59:00Z</dcterms:modified>
</cp:coreProperties>
</file>